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97" w:rsidRDefault="0057096E">
      <w:pPr>
        <w:suppressAutoHyphens/>
        <w:jc w:val="center"/>
        <w:rPr>
          <w:b/>
          <w:sz w:val="22"/>
        </w:rPr>
      </w:pPr>
      <w:r>
        <w:rPr>
          <w:b/>
          <w:sz w:val="22"/>
        </w:rPr>
        <w:t>TITLE 6</w:t>
      </w:r>
    </w:p>
    <w:p w:rsidR="00A07197" w:rsidRDefault="00A07197">
      <w:pPr>
        <w:suppressAutoHyphens/>
        <w:jc w:val="center"/>
        <w:rPr>
          <w:b/>
          <w:sz w:val="22"/>
        </w:rPr>
      </w:pPr>
      <w:r>
        <w:rPr>
          <w:b/>
          <w:sz w:val="22"/>
        </w:rPr>
        <w:t>STUDENT ORGANIZATIONS</w:t>
      </w:r>
    </w:p>
    <w:p w:rsidR="00A07197" w:rsidRDefault="00A07197">
      <w:pPr>
        <w:suppressAutoHyphens/>
        <w:jc w:val="center"/>
        <w:rPr>
          <w:b/>
          <w:sz w:val="22"/>
        </w:rPr>
      </w:pPr>
    </w:p>
    <w:p w:rsidR="00A07197" w:rsidRDefault="00A07197" w:rsidP="008F762D">
      <w:pPr>
        <w:tabs>
          <w:tab w:val="right" w:pos="7920"/>
        </w:tabs>
        <w:suppressAutoHyphens/>
        <w:rPr>
          <w:b/>
          <w:spacing w:val="-3"/>
          <w:sz w:val="22"/>
        </w:rPr>
      </w:pPr>
      <w:r>
        <w:rPr>
          <w:b/>
          <w:spacing w:val="-3"/>
          <w:sz w:val="22"/>
        </w:rPr>
        <w:t>Title</w:t>
      </w:r>
      <w:r>
        <w:rPr>
          <w:b/>
          <w:spacing w:val="-3"/>
          <w:sz w:val="22"/>
        </w:rPr>
        <w:tab/>
        <w:t>Section</w:t>
      </w:r>
    </w:p>
    <w:p w:rsidR="00A07197" w:rsidRDefault="00A07197" w:rsidP="008F762D">
      <w:pPr>
        <w:tabs>
          <w:tab w:val="right" w:pos="7920"/>
        </w:tabs>
        <w:suppressAutoHyphens/>
        <w:rPr>
          <w:spacing w:val="-3"/>
          <w:sz w:val="22"/>
        </w:rPr>
      </w:pPr>
      <w:r>
        <w:rPr>
          <w:spacing w:val="-3"/>
          <w:sz w:val="22"/>
        </w:rPr>
        <w:t>Student Organizations Defined</w:t>
      </w:r>
      <w:r>
        <w:rPr>
          <w:spacing w:val="-3"/>
          <w:sz w:val="22"/>
        </w:rPr>
        <w:tab/>
        <w:t>1</w:t>
      </w:r>
    </w:p>
    <w:p w:rsidR="00A07197" w:rsidRDefault="00A07197" w:rsidP="008F762D">
      <w:pPr>
        <w:tabs>
          <w:tab w:val="right" w:pos="7920"/>
        </w:tabs>
        <w:suppressAutoHyphens/>
        <w:rPr>
          <w:spacing w:val="-3"/>
          <w:sz w:val="22"/>
        </w:rPr>
      </w:pPr>
      <w:r>
        <w:rPr>
          <w:spacing w:val="-3"/>
          <w:sz w:val="22"/>
        </w:rPr>
        <w:t>Recognized Student Organizations</w:t>
      </w:r>
      <w:r>
        <w:rPr>
          <w:spacing w:val="-3"/>
          <w:sz w:val="22"/>
        </w:rPr>
        <w:tab/>
        <w:t>2</w:t>
      </w:r>
    </w:p>
    <w:p w:rsidR="00A07197" w:rsidRDefault="00A07197">
      <w:pPr>
        <w:tabs>
          <w:tab w:val="left" w:pos="5760"/>
        </w:tabs>
        <w:suppressAutoHyphens/>
        <w:rPr>
          <w:spacing w:val="-3"/>
          <w:sz w:val="22"/>
        </w:rPr>
      </w:pPr>
    </w:p>
    <w:p w:rsidR="00486886" w:rsidRPr="00486886" w:rsidRDefault="0057096E">
      <w:pPr>
        <w:suppressAutoHyphens/>
        <w:rPr>
          <w:b/>
          <w:spacing w:val="-3"/>
          <w:sz w:val="24"/>
          <w:szCs w:val="24"/>
        </w:rPr>
      </w:pPr>
      <w:r>
        <w:rPr>
          <w:b/>
          <w:spacing w:val="-3"/>
          <w:sz w:val="24"/>
          <w:szCs w:val="24"/>
        </w:rPr>
        <w:t>Interpretation of Title 6</w:t>
      </w:r>
      <w:r w:rsidR="00486886">
        <w:rPr>
          <w:b/>
          <w:spacing w:val="-3"/>
          <w:sz w:val="24"/>
          <w:szCs w:val="24"/>
        </w:rPr>
        <w:t xml:space="preserve"> Section 1.1</w:t>
      </w:r>
    </w:p>
    <w:p w:rsidR="00486886" w:rsidRDefault="001D48E9" w:rsidP="00486886">
      <w:r>
        <w:rPr>
          <w:sz w:val="24"/>
          <w:szCs w:val="24"/>
        </w:rPr>
        <w:t>The SGA bylaws and Senate rules do not restrict religious or political groups from attaining registered status. The United States Supreme Court has held that designating student fees in a manner that is not viewpoint neutral is unconstitutional.¹</w:t>
      </w:r>
    </w:p>
    <w:p w:rsidR="00486886" w:rsidRDefault="00486886">
      <w:pPr>
        <w:suppressAutoHyphens/>
        <w:rPr>
          <w:b/>
          <w:spacing w:val="-3"/>
          <w:sz w:val="22"/>
        </w:rPr>
      </w:pPr>
    </w:p>
    <w:p w:rsidR="00A07197" w:rsidRDefault="00A07197" w:rsidP="00356881">
      <w:pPr>
        <w:ind w:left="1440" w:hanging="1440"/>
        <w:rPr>
          <w:bCs/>
          <w:sz w:val="24"/>
        </w:rPr>
      </w:pPr>
      <w:r>
        <w:rPr>
          <w:b/>
          <w:sz w:val="24"/>
        </w:rPr>
        <w:t>Section 1.</w:t>
      </w:r>
      <w:r>
        <w:rPr>
          <w:b/>
          <w:sz w:val="24"/>
        </w:rPr>
        <w:tab/>
        <w:t>STUDENT ORGANIZATIONS DEFINED-</w:t>
      </w:r>
      <w:r>
        <w:rPr>
          <w:bCs/>
          <w:sz w:val="24"/>
        </w:rPr>
        <w:t>The definition and requirements of Student Organizations are stipulated herein:</w:t>
      </w:r>
    </w:p>
    <w:p w:rsidR="00A07197" w:rsidRPr="00747AFE" w:rsidRDefault="00A07197" w:rsidP="00747AFE">
      <w:pPr>
        <w:numPr>
          <w:ilvl w:val="1"/>
          <w:numId w:val="2"/>
        </w:numPr>
        <w:rPr>
          <w:bCs/>
          <w:sz w:val="24"/>
        </w:rPr>
      </w:pPr>
      <w:r>
        <w:rPr>
          <w:b/>
          <w:sz w:val="24"/>
        </w:rPr>
        <w:t>R</w:t>
      </w:r>
      <w:r w:rsidR="00747AFE">
        <w:rPr>
          <w:b/>
          <w:sz w:val="24"/>
        </w:rPr>
        <w:t xml:space="preserve">egistered – </w:t>
      </w:r>
      <w:r w:rsidR="00747AFE">
        <w:rPr>
          <w:sz w:val="24"/>
        </w:rPr>
        <w:t>student groups affiliated with the University which are currently under a trial period, to be specified in section 2, and which do not qualify for AFAP funding.</w:t>
      </w:r>
    </w:p>
    <w:p w:rsidR="00747AFE" w:rsidRPr="00747AFE" w:rsidRDefault="00747AFE">
      <w:pPr>
        <w:numPr>
          <w:ilvl w:val="1"/>
          <w:numId w:val="2"/>
        </w:numPr>
        <w:rPr>
          <w:bCs/>
          <w:sz w:val="24"/>
        </w:rPr>
      </w:pPr>
      <w:r>
        <w:rPr>
          <w:b/>
          <w:bCs/>
          <w:sz w:val="24"/>
        </w:rPr>
        <w:t xml:space="preserve">Recognized – </w:t>
      </w:r>
      <w:r>
        <w:rPr>
          <w:bCs/>
          <w:sz w:val="24"/>
        </w:rPr>
        <w:t>student groups which have completed the trial period as specified in Section 2.</w:t>
      </w:r>
    </w:p>
    <w:p w:rsidR="00FF5EB4" w:rsidRDefault="00FF5EB4" w:rsidP="00FF5EB4">
      <w:pPr>
        <w:rPr>
          <w:b/>
          <w:sz w:val="24"/>
        </w:rPr>
      </w:pPr>
    </w:p>
    <w:p w:rsidR="00FF5EB4" w:rsidRDefault="00FF5EB4" w:rsidP="00356881">
      <w:pPr>
        <w:ind w:left="1440" w:hanging="1440"/>
        <w:rPr>
          <w:b/>
          <w:sz w:val="24"/>
        </w:rPr>
      </w:pPr>
      <w:r>
        <w:rPr>
          <w:b/>
          <w:sz w:val="24"/>
        </w:rPr>
        <w:t>Section 2.</w:t>
      </w:r>
      <w:r>
        <w:rPr>
          <w:b/>
          <w:sz w:val="24"/>
        </w:rPr>
        <w:tab/>
        <w:t>The requirements and privileges of Registered and Recognized groups are as follows:</w:t>
      </w:r>
    </w:p>
    <w:p w:rsidR="00FF5EB4" w:rsidRDefault="00FF5EB4" w:rsidP="00FF5EB4">
      <w:pPr>
        <w:rPr>
          <w:b/>
          <w:sz w:val="24"/>
        </w:rPr>
      </w:pPr>
      <w:r>
        <w:rPr>
          <w:b/>
          <w:sz w:val="24"/>
        </w:rPr>
        <w:tab/>
      </w:r>
      <w:r w:rsidRPr="00356881">
        <w:rPr>
          <w:sz w:val="24"/>
        </w:rPr>
        <w:t>2.1.</w:t>
      </w:r>
      <w:r>
        <w:rPr>
          <w:b/>
          <w:sz w:val="24"/>
        </w:rPr>
        <w:tab/>
        <w:t>Registered Groups:</w:t>
      </w:r>
    </w:p>
    <w:p w:rsidR="00A07197" w:rsidRDefault="00FF5EB4" w:rsidP="00356881">
      <w:pPr>
        <w:ind w:left="2160" w:hanging="720"/>
        <w:rPr>
          <w:sz w:val="24"/>
        </w:rPr>
      </w:pPr>
      <w:r w:rsidRPr="00FF5EB4">
        <w:rPr>
          <w:sz w:val="24"/>
        </w:rPr>
        <w:t>2.1.</w:t>
      </w:r>
      <w:r w:rsidR="00356881">
        <w:rPr>
          <w:sz w:val="24"/>
        </w:rPr>
        <w:t>1</w:t>
      </w:r>
      <w:r>
        <w:rPr>
          <w:sz w:val="24"/>
        </w:rPr>
        <w:t xml:space="preserve">. </w:t>
      </w:r>
      <w:r w:rsidR="00356881">
        <w:rPr>
          <w:sz w:val="24"/>
        </w:rPr>
        <w:tab/>
      </w:r>
      <w:r>
        <w:rPr>
          <w:sz w:val="24"/>
        </w:rPr>
        <w:t xml:space="preserve">Trial Period-Groups which have been granted registered status by CSO shall undergo a trial period of sixteen (16) school weeks, during which they shall fulfill all requirements set forth by Campus Life and CSO as well as maintain active membership and regularly scheduled meetings. </w:t>
      </w:r>
    </w:p>
    <w:p w:rsidR="00FF5EB4" w:rsidRDefault="00356881" w:rsidP="00356881">
      <w:pPr>
        <w:ind w:left="2160" w:hanging="720"/>
        <w:rPr>
          <w:sz w:val="24"/>
        </w:rPr>
      </w:pPr>
      <w:r>
        <w:rPr>
          <w:sz w:val="24"/>
        </w:rPr>
        <w:t>2.1.2</w:t>
      </w:r>
      <w:r w:rsidR="00FF5EB4">
        <w:rPr>
          <w:sz w:val="24"/>
        </w:rPr>
        <w:t xml:space="preserve">. </w:t>
      </w:r>
      <w:r>
        <w:rPr>
          <w:sz w:val="24"/>
        </w:rPr>
        <w:tab/>
      </w:r>
      <w:r w:rsidR="00FF5EB4">
        <w:rPr>
          <w:sz w:val="24"/>
        </w:rPr>
        <w:t xml:space="preserve">The opportunity to use University facilities, normally at no cost, for regularly scheduled business meeting in designated areas. </w:t>
      </w:r>
    </w:p>
    <w:p w:rsidR="00FF5EB4" w:rsidRDefault="00356881" w:rsidP="00356881">
      <w:pPr>
        <w:ind w:left="2160" w:hanging="720"/>
        <w:rPr>
          <w:sz w:val="24"/>
        </w:rPr>
      </w:pPr>
      <w:r>
        <w:rPr>
          <w:sz w:val="24"/>
        </w:rPr>
        <w:t>2.1.3</w:t>
      </w:r>
      <w:r w:rsidR="00FF5EB4">
        <w:rPr>
          <w:sz w:val="24"/>
        </w:rPr>
        <w:t xml:space="preserve">. </w:t>
      </w:r>
      <w:r>
        <w:rPr>
          <w:sz w:val="24"/>
        </w:rPr>
        <w:tab/>
      </w:r>
      <w:r w:rsidR="00FF5EB4">
        <w:rPr>
          <w:sz w:val="24"/>
        </w:rPr>
        <w:t xml:space="preserve">The opportunity to use the announcement service in the </w:t>
      </w:r>
      <w:proofErr w:type="spellStart"/>
      <w:r w:rsidR="00FF5EB4">
        <w:rPr>
          <w:sz w:val="24"/>
        </w:rPr>
        <w:t>O’Collegian</w:t>
      </w:r>
      <w:proofErr w:type="spellEnd"/>
      <w:r w:rsidR="00FF5EB4">
        <w:rPr>
          <w:sz w:val="24"/>
        </w:rPr>
        <w:t>.</w:t>
      </w:r>
    </w:p>
    <w:p w:rsidR="00FF5EB4" w:rsidRDefault="00356881" w:rsidP="00356881">
      <w:pPr>
        <w:ind w:left="2160" w:hanging="720"/>
        <w:rPr>
          <w:sz w:val="24"/>
        </w:rPr>
      </w:pPr>
      <w:r>
        <w:rPr>
          <w:sz w:val="24"/>
        </w:rPr>
        <w:t>2.1.4</w:t>
      </w:r>
      <w:r w:rsidR="00FF5EB4">
        <w:rPr>
          <w:sz w:val="24"/>
        </w:rPr>
        <w:t xml:space="preserve">. </w:t>
      </w:r>
      <w:r>
        <w:rPr>
          <w:sz w:val="24"/>
        </w:rPr>
        <w:tab/>
      </w:r>
      <w:r w:rsidR="00FF5EB4">
        <w:rPr>
          <w:sz w:val="24"/>
        </w:rPr>
        <w:t>The opportunity to use the unrestricted bulletin boards on campus.</w:t>
      </w:r>
    </w:p>
    <w:p w:rsidR="00FF5EB4" w:rsidRDefault="00356881" w:rsidP="00356881">
      <w:pPr>
        <w:ind w:left="2160" w:hanging="720"/>
        <w:rPr>
          <w:sz w:val="24"/>
        </w:rPr>
      </w:pPr>
      <w:r>
        <w:rPr>
          <w:sz w:val="24"/>
        </w:rPr>
        <w:t>2.1.5</w:t>
      </w:r>
      <w:r w:rsidR="00FF5EB4">
        <w:rPr>
          <w:sz w:val="24"/>
        </w:rPr>
        <w:t xml:space="preserve">. </w:t>
      </w:r>
      <w:r>
        <w:rPr>
          <w:sz w:val="24"/>
        </w:rPr>
        <w:tab/>
      </w:r>
      <w:r w:rsidR="00FF5EB4">
        <w:rPr>
          <w:sz w:val="24"/>
        </w:rPr>
        <w:t>The opportunity to be listed in the Student Handbook.</w:t>
      </w:r>
    </w:p>
    <w:p w:rsidR="00FF5EB4" w:rsidRDefault="00356881" w:rsidP="00356881">
      <w:pPr>
        <w:ind w:left="2160" w:hanging="720"/>
        <w:rPr>
          <w:sz w:val="24"/>
        </w:rPr>
      </w:pPr>
      <w:r>
        <w:rPr>
          <w:sz w:val="24"/>
        </w:rPr>
        <w:t>2.1.6</w:t>
      </w:r>
      <w:r w:rsidR="00FF5EB4">
        <w:rPr>
          <w:sz w:val="24"/>
        </w:rPr>
        <w:t xml:space="preserve">. </w:t>
      </w:r>
      <w:r>
        <w:rPr>
          <w:sz w:val="24"/>
        </w:rPr>
        <w:tab/>
      </w:r>
      <w:r w:rsidR="00FF5EB4">
        <w:rPr>
          <w:sz w:val="24"/>
        </w:rPr>
        <w:t>The opportunity to use the non-postage mail service for distribution of the materials that are related to the purpose and business of the organization.</w:t>
      </w:r>
    </w:p>
    <w:p w:rsidR="00FF5EB4" w:rsidRDefault="00356881" w:rsidP="00356881">
      <w:pPr>
        <w:ind w:left="2160" w:hanging="720"/>
        <w:rPr>
          <w:sz w:val="24"/>
        </w:rPr>
      </w:pPr>
      <w:r>
        <w:rPr>
          <w:sz w:val="24"/>
        </w:rPr>
        <w:t>2.1.7</w:t>
      </w:r>
      <w:r w:rsidR="00FF5EB4">
        <w:rPr>
          <w:sz w:val="24"/>
        </w:rPr>
        <w:t xml:space="preserve">. </w:t>
      </w:r>
      <w:r>
        <w:rPr>
          <w:sz w:val="24"/>
        </w:rPr>
        <w:tab/>
      </w:r>
      <w:r w:rsidR="00FF5EB4">
        <w:rPr>
          <w:sz w:val="24"/>
        </w:rPr>
        <w:t>The opportunity to use the Senate Committee on Student Organizations (CSO) to address concerns to the SGA.</w:t>
      </w:r>
    </w:p>
    <w:p w:rsidR="00FF5EB4" w:rsidRDefault="00FF5EB4" w:rsidP="00FF5EB4">
      <w:pPr>
        <w:rPr>
          <w:sz w:val="24"/>
        </w:rPr>
      </w:pPr>
    </w:p>
    <w:p w:rsidR="00FF5EB4" w:rsidRDefault="00FF5EB4" w:rsidP="00FF5EB4">
      <w:pPr>
        <w:rPr>
          <w:b/>
          <w:sz w:val="24"/>
        </w:rPr>
      </w:pPr>
      <w:r>
        <w:rPr>
          <w:sz w:val="24"/>
        </w:rPr>
        <w:tab/>
      </w:r>
      <w:r w:rsidRPr="00356881">
        <w:rPr>
          <w:sz w:val="24"/>
        </w:rPr>
        <w:t>2.2</w:t>
      </w:r>
      <w:r>
        <w:rPr>
          <w:b/>
          <w:sz w:val="24"/>
        </w:rPr>
        <w:tab/>
        <w:t>Recognized Groups:</w:t>
      </w:r>
    </w:p>
    <w:p w:rsidR="00FF5EB4" w:rsidRDefault="00FF5EB4" w:rsidP="00356881">
      <w:pPr>
        <w:ind w:left="2160" w:hanging="720"/>
        <w:rPr>
          <w:sz w:val="24"/>
        </w:rPr>
      </w:pPr>
      <w:r>
        <w:rPr>
          <w:sz w:val="24"/>
        </w:rPr>
        <w:t xml:space="preserve">2.2.1. </w:t>
      </w:r>
      <w:r w:rsidR="00356881">
        <w:rPr>
          <w:sz w:val="24"/>
        </w:rPr>
        <w:tab/>
      </w:r>
      <w:r>
        <w:rPr>
          <w:sz w:val="24"/>
        </w:rPr>
        <w:t>The opportunity to request the use of student fee allocations from the Student Activity Fee Allocation Committee.</w:t>
      </w:r>
    </w:p>
    <w:p w:rsidR="00FF5EB4" w:rsidRDefault="00FF5EB4" w:rsidP="00356881">
      <w:pPr>
        <w:ind w:left="2160" w:hanging="720"/>
        <w:rPr>
          <w:sz w:val="24"/>
        </w:rPr>
      </w:pPr>
      <w:r>
        <w:rPr>
          <w:sz w:val="24"/>
        </w:rPr>
        <w:t xml:space="preserve">2.2.2. </w:t>
      </w:r>
      <w:r w:rsidR="00356881">
        <w:rPr>
          <w:sz w:val="24"/>
        </w:rPr>
        <w:tab/>
      </w:r>
      <w:r>
        <w:rPr>
          <w:sz w:val="24"/>
        </w:rPr>
        <w:t>The opportunity to use the name of the University to show their academic affiliation.</w:t>
      </w:r>
    </w:p>
    <w:p w:rsidR="00FF5EB4" w:rsidRDefault="00FF5EB4" w:rsidP="00356881">
      <w:pPr>
        <w:ind w:left="2160" w:hanging="720"/>
        <w:rPr>
          <w:sz w:val="24"/>
        </w:rPr>
      </w:pPr>
      <w:r>
        <w:rPr>
          <w:sz w:val="24"/>
        </w:rPr>
        <w:t xml:space="preserve">2.2.3. </w:t>
      </w:r>
      <w:r w:rsidR="00356881">
        <w:rPr>
          <w:sz w:val="24"/>
        </w:rPr>
        <w:tab/>
      </w:r>
      <w:r>
        <w:rPr>
          <w:sz w:val="24"/>
        </w:rPr>
        <w:t xml:space="preserve">The opportunity to use University facilities, normally at no cost, for regularly scheduled business meetings in designated areas. </w:t>
      </w:r>
    </w:p>
    <w:p w:rsidR="001D48E9" w:rsidRDefault="001D48E9" w:rsidP="00356881">
      <w:pPr>
        <w:ind w:left="2160" w:hanging="720"/>
        <w:rPr>
          <w:sz w:val="24"/>
        </w:rPr>
      </w:pPr>
    </w:p>
    <w:p w:rsidR="001D48E9" w:rsidRPr="001D48E9" w:rsidRDefault="001D48E9" w:rsidP="001D48E9">
      <w:pPr>
        <w:rPr>
          <w:i/>
        </w:rPr>
      </w:pPr>
      <w:r>
        <w:rPr>
          <w:sz w:val="24"/>
        </w:rPr>
        <w:t>¹</w:t>
      </w:r>
      <w:r w:rsidRPr="001D48E9">
        <w:rPr>
          <w:i/>
        </w:rPr>
        <w:t xml:space="preserve">See Rosenberg v. Rectors and Visitors of the University of Virginia, 515 U.S. 819 (1995); Board of Regents of the University of Wisconsin System v. </w:t>
      </w:r>
      <w:proofErr w:type="spellStart"/>
      <w:r w:rsidRPr="001D48E9">
        <w:rPr>
          <w:i/>
        </w:rPr>
        <w:t>Southworth</w:t>
      </w:r>
      <w:proofErr w:type="spellEnd"/>
      <w:r w:rsidRPr="001D48E9">
        <w:rPr>
          <w:i/>
        </w:rPr>
        <w:t>, 529 U.S. 217 (2000).</w:t>
      </w:r>
    </w:p>
    <w:p w:rsidR="001D48E9" w:rsidRDefault="001D48E9" w:rsidP="00356881">
      <w:pPr>
        <w:ind w:left="2160" w:hanging="720"/>
        <w:rPr>
          <w:sz w:val="24"/>
        </w:rPr>
      </w:pPr>
    </w:p>
    <w:p w:rsidR="001D48E9" w:rsidRDefault="001D48E9" w:rsidP="00356881">
      <w:pPr>
        <w:ind w:left="2160" w:hanging="720"/>
        <w:rPr>
          <w:sz w:val="24"/>
        </w:rPr>
      </w:pPr>
    </w:p>
    <w:p w:rsidR="001D48E9" w:rsidRDefault="00FF5EB4" w:rsidP="001D48E9">
      <w:pPr>
        <w:ind w:left="2160" w:hanging="720"/>
        <w:rPr>
          <w:sz w:val="24"/>
        </w:rPr>
      </w:pPr>
      <w:r>
        <w:rPr>
          <w:sz w:val="24"/>
        </w:rPr>
        <w:t xml:space="preserve">2.2.4. </w:t>
      </w:r>
      <w:r w:rsidR="00356881">
        <w:rPr>
          <w:sz w:val="24"/>
        </w:rPr>
        <w:tab/>
      </w:r>
      <w:r>
        <w:rPr>
          <w:sz w:val="24"/>
        </w:rPr>
        <w:t xml:space="preserve">The opportunity to use the announcement service in the </w:t>
      </w:r>
      <w:proofErr w:type="spellStart"/>
      <w:r>
        <w:rPr>
          <w:sz w:val="24"/>
        </w:rPr>
        <w:t>O’Collegian</w:t>
      </w:r>
      <w:bookmarkStart w:id="0" w:name="_GoBack"/>
      <w:bookmarkEnd w:id="0"/>
      <w:proofErr w:type="spellEnd"/>
      <w:r>
        <w:rPr>
          <w:sz w:val="24"/>
        </w:rPr>
        <w:t>.</w:t>
      </w:r>
    </w:p>
    <w:p w:rsidR="00FF5EB4" w:rsidRDefault="00FF5EB4" w:rsidP="00356881">
      <w:pPr>
        <w:ind w:left="2160" w:hanging="720"/>
        <w:rPr>
          <w:sz w:val="24"/>
        </w:rPr>
      </w:pPr>
      <w:r>
        <w:rPr>
          <w:sz w:val="24"/>
        </w:rPr>
        <w:t xml:space="preserve">2.2.5. </w:t>
      </w:r>
      <w:r w:rsidR="00356881">
        <w:rPr>
          <w:sz w:val="24"/>
        </w:rPr>
        <w:tab/>
      </w:r>
      <w:r>
        <w:rPr>
          <w:sz w:val="24"/>
        </w:rPr>
        <w:t>The opportunity to use the unrestricted bulletin boards on campus.</w:t>
      </w:r>
    </w:p>
    <w:p w:rsidR="001D48E9" w:rsidRDefault="00FF5EB4" w:rsidP="001D48E9">
      <w:pPr>
        <w:ind w:left="2160" w:hanging="720"/>
        <w:rPr>
          <w:sz w:val="24"/>
        </w:rPr>
      </w:pPr>
      <w:r>
        <w:rPr>
          <w:sz w:val="24"/>
        </w:rPr>
        <w:t xml:space="preserve">2.2.6. </w:t>
      </w:r>
      <w:r w:rsidR="00356881">
        <w:rPr>
          <w:sz w:val="24"/>
        </w:rPr>
        <w:tab/>
      </w:r>
      <w:r>
        <w:rPr>
          <w:sz w:val="24"/>
        </w:rPr>
        <w:t>The opportunity to be listed in the Student Handbook.</w:t>
      </w:r>
    </w:p>
    <w:p w:rsidR="00FF5EB4" w:rsidRDefault="00FF5EB4" w:rsidP="00356881">
      <w:pPr>
        <w:ind w:left="2160" w:hanging="720"/>
        <w:rPr>
          <w:sz w:val="24"/>
        </w:rPr>
      </w:pPr>
      <w:r>
        <w:rPr>
          <w:sz w:val="24"/>
        </w:rPr>
        <w:t xml:space="preserve">2.2.7. </w:t>
      </w:r>
      <w:r w:rsidR="00356881">
        <w:rPr>
          <w:sz w:val="24"/>
        </w:rPr>
        <w:tab/>
      </w:r>
      <w:r>
        <w:rPr>
          <w:sz w:val="24"/>
        </w:rPr>
        <w:t>The opportunity to use the non-postage mail service for distribution of the materials that are related to the purpose and business of the organization.</w:t>
      </w:r>
    </w:p>
    <w:p w:rsidR="00FF5EB4" w:rsidRPr="00FF5EB4" w:rsidRDefault="00FF5EB4" w:rsidP="00356881">
      <w:pPr>
        <w:ind w:left="2160" w:hanging="720"/>
        <w:rPr>
          <w:sz w:val="24"/>
        </w:rPr>
      </w:pPr>
      <w:r>
        <w:rPr>
          <w:sz w:val="24"/>
        </w:rPr>
        <w:t xml:space="preserve">2.2.8. </w:t>
      </w:r>
      <w:r w:rsidR="00356881">
        <w:rPr>
          <w:sz w:val="24"/>
        </w:rPr>
        <w:tab/>
      </w:r>
      <w:r>
        <w:rPr>
          <w:sz w:val="24"/>
        </w:rPr>
        <w:t>The opportunity to use the Senate Committee on Student Organizations (CSO) to address concerns to the SGA.</w:t>
      </w:r>
    </w:p>
    <w:p w:rsidR="00FF5EB4" w:rsidRDefault="00FF5EB4" w:rsidP="00FF5EB4">
      <w:pPr>
        <w:rPr>
          <w:bCs/>
          <w:sz w:val="24"/>
        </w:rPr>
      </w:pPr>
    </w:p>
    <w:p w:rsidR="00A07197" w:rsidRDefault="00356881" w:rsidP="008F762D">
      <w:pPr>
        <w:rPr>
          <w:sz w:val="24"/>
        </w:rPr>
      </w:pPr>
      <w:r>
        <w:rPr>
          <w:b/>
          <w:sz w:val="24"/>
        </w:rPr>
        <w:t>Section 3</w:t>
      </w:r>
      <w:r w:rsidR="00A07197">
        <w:rPr>
          <w:b/>
          <w:sz w:val="24"/>
        </w:rPr>
        <w:t>.</w:t>
      </w:r>
      <w:r w:rsidR="00A07197">
        <w:rPr>
          <w:b/>
          <w:sz w:val="24"/>
        </w:rPr>
        <w:tab/>
        <w:t>RECOGNIZED GROUPS</w:t>
      </w:r>
      <w:r w:rsidR="00A07197">
        <w:rPr>
          <w:sz w:val="24"/>
        </w:rPr>
        <w:t xml:space="preserve"> – </w:t>
      </w:r>
      <w:r w:rsidR="00D279A9">
        <w:rPr>
          <w:sz w:val="24"/>
        </w:rPr>
        <w:t xml:space="preserve">A list of recognized clubs and organizations related to AFAP Group I, Group II guidelines, council governing board, and the </w:t>
      </w:r>
      <w:smartTag w:uri="urn:schemas-microsoft-com:office:smarttags" w:element="stockticker">
        <w:r w:rsidR="00D279A9">
          <w:rPr>
            <w:sz w:val="24"/>
          </w:rPr>
          <w:t>SGA</w:t>
        </w:r>
      </w:smartTag>
      <w:r w:rsidR="00D279A9">
        <w:rPr>
          <w:sz w:val="24"/>
        </w:rPr>
        <w:t xml:space="preserve"> Co-Sponsorship board: will be kept on file and updated with the CSO Chair and the </w:t>
      </w:r>
      <w:smartTag w:uri="urn:schemas-microsoft-com:office:smarttags" w:element="stockticker">
        <w:r w:rsidR="00D279A9">
          <w:rPr>
            <w:sz w:val="24"/>
          </w:rPr>
          <w:t>SGA</w:t>
        </w:r>
      </w:smartTag>
      <w:r w:rsidR="00D279A9">
        <w:rPr>
          <w:sz w:val="24"/>
        </w:rPr>
        <w:t xml:space="preserve"> Secretaries.</w:t>
      </w:r>
    </w:p>
    <w:p w:rsidR="001D48E9" w:rsidRDefault="001D48E9" w:rsidP="008F762D">
      <w:pPr>
        <w:rPr>
          <w:sz w:val="24"/>
        </w:rPr>
      </w:pPr>
    </w:p>
    <w:p w:rsidR="001D48E9" w:rsidRDefault="001D48E9" w:rsidP="008F762D">
      <w:pPr>
        <w:rPr>
          <w:sz w:val="24"/>
        </w:rPr>
      </w:pPr>
    </w:p>
    <w:p w:rsidR="001D48E9" w:rsidRDefault="001D48E9" w:rsidP="008F762D">
      <w:pPr>
        <w:rPr>
          <w:sz w:val="24"/>
        </w:rPr>
      </w:pPr>
    </w:p>
    <w:p w:rsidR="001D48E9" w:rsidRDefault="001D48E9" w:rsidP="008F762D">
      <w:pPr>
        <w:rPr>
          <w:sz w:val="24"/>
        </w:rPr>
      </w:pPr>
    </w:p>
    <w:p w:rsidR="001D48E9" w:rsidRDefault="001D48E9" w:rsidP="008F762D">
      <w:pPr>
        <w:rPr>
          <w:sz w:val="24"/>
        </w:rPr>
      </w:pPr>
    </w:p>
    <w:p w:rsidR="001D48E9" w:rsidRDefault="001D48E9" w:rsidP="008F762D">
      <w:pPr>
        <w:rPr>
          <w:sz w:val="24"/>
        </w:rPr>
      </w:pPr>
    </w:p>
    <w:p w:rsidR="001D48E9" w:rsidRDefault="001D48E9" w:rsidP="008F762D">
      <w:pPr>
        <w:rPr>
          <w:sz w:val="24"/>
        </w:rPr>
      </w:pPr>
    </w:p>
    <w:p w:rsidR="001D48E9" w:rsidRDefault="001D48E9" w:rsidP="008F762D">
      <w:pPr>
        <w:rPr>
          <w:sz w:val="24"/>
        </w:rPr>
      </w:pPr>
    </w:p>
    <w:p w:rsidR="001D48E9" w:rsidRDefault="001D48E9" w:rsidP="008F762D">
      <w:pPr>
        <w:rPr>
          <w:sz w:val="24"/>
        </w:rPr>
      </w:pPr>
    </w:p>
    <w:sectPr w:rsidR="001D48E9">
      <w:footerReference w:type="even"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4C" w:rsidRDefault="0031354C">
      <w:r>
        <w:separator/>
      </w:r>
    </w:p>
  </w:endnote>
  <w:endnote w:type="continuationSeparator" w:id="0">
    <w:p w:rsidR="0031354C" w:rsidRDefault="0031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97" w:rsidRDefault="00A07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97" w:rsidRDefault="00A07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97" w:rsidRDefault="00A07197">
    <w:pPr>
      <w:pStyle w:val="Footer"/>
      <w:ind w:right="360"/>
      <w:jc w:val="center"/>
      <w:rPr>
        <w:sz w:val="22"/>
      </w:rPr>
    </w:pPr>
    <w:r>
      <w:rPr>
        <w:rStyle w:val="PageNumber"/>
        <w:sz w:val="22"/>
      </w:rPr>
      <w:t xml:space="preserve">TITLE 5 - </w:t>
    </w:r>
    <w:r>
      <w:rPr>
        <w:rStyle w:val="PageNumber"/>
        <w:sz w:val="22"/>
      </w:rPr>
      <w:fldChar w:fldCharType="begin"/>
    </w:r>
    <w:r>
      <w:rPr>
        <w:rStyle w:val="PageNumber"/>
        <w:sz w:val="22"/>
      </w:rPr>
      <w:instrText xml:space="preserve"> PAGE </w:instrText>
    </w:r>
    <w:r>
      <w:rPr>
        <w:rStyle w:val="PageNumber"/>
        <w:sz w:val="22"/>
      </w:rPr>
      <w:fldChar w:fldCharType="separate"/>
    </w:r>
    <w:r w:rsidR="0057096E">
      <w:rPr>
        <w:rStyle w:val="PageNumber"/>
        <w:noProof/>
        <w:sz w:val="22"/>
      </w:rPr>
      <w:t>2</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97" w:rsidRDefault="00A07197">
    <w:pPr>
      <w:pStyle w:val="Footer"/>
      <w:jc w:val="center"/>
      <w:rPr>
        <w:sz w:val="22"/>
      </w:rPr>
    </w:pPr>
    <w:r>
      <w:rPr>
        <w:sz w:val="22"/>
      </w:rPr>
      <w:t>T</w:t>
    </w:r>
    <w:r w:rsidR="0057096E">
      <w:rPr>
        <w:sz w:val="22"/>
      </w:rPr>
      <w:t>ITLE 6</w:t>
    </w:r>
    <w:r>
      <w:rPr>
        <w:sz w:val="22"/>
      </w:rPr>
      <w:t xml:space="preserve"> - </w:t>
    </w:r>
    <w:r>
      <w:rPr>
        <w:rStyle w:val="PageNumber"/>
        <w:sz w:val="22"/>
      </w:rPr>
      <w:fldChar w:fldCharType="begin"/>
    </w:r>
    <w:r>
      <w:rPr>
        <w:rStyle w:val="PageNumber"/>
        <w:sz w:val="22"/>
      </w:rPr>
      <w:instrText xml:space="preserve"> PAGE </w:instrText>
    </w:r>
    <w:r>
      <w:rPr>
        <w:rStyle w:val="PageNumber"/>
        <w:sz w:val="22"/>
      </w:rPr>
      <w:fldChar w:fldCharType="separate"/>
    </w:r>
    <w:r w:rsidR="0057096E">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4C" w:rsidRDefault="0031354C">
      <w:r>
        <w:separator/>
      </w:r>
    </w:p>
  </w:footnote>
  <w:footnote w:type="continuationSeparator" w:id="0">
    <w:p w:rsidR="0031354C" w:rsidRDefault="0031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48" w:rsidRPr="00CF2E48" w:rsidRDefault="00CF2E48" w:rsidP="00CF2E48">
    <w:pPr>
      <w:pStyle w:val="Header"/>
      <w:jc w:val="right"/>
      <w:rPr>
        <w:i/>
        <w:sz w:val="16"/>
        <w:szCs w:val="16"/>
      </w:rPr>
    </w:pPr>
    <w:r>
      <w:rPr>
        <w:i/>
        <w:sz w:val="16"/>
        <w:szCs w:val="16"/>
      </w:rPr>
      <w:t xml:space="preserve">This code is accurate and updated as of </w:t>
    </w:r>
    <w:r w:rsidR="0057096E">
      <w:rPr>
        <w:i/>
        <w:sz w:val="16"/>
        <w:szCs w:val="16"/>
      </w:rPr>
      <w:t>March 27,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D9E"/>
    <w:multiLevelType w:val="multilevel"/>
    <w:tmpl w:val="BC12A84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799114EE"/>
    <w:multiLevelType w:val="multilevel"/>
    <w:tmpl w:val="351859D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5C"/>
    <w:rsid w:val="00036C3C"/>
    <w:rsid w:val="000D6725"/>
    <w:rsid w:val="001D48E9"/>
    <w:rsid w:val="0031354C"/>
    <w:rsid w:val="00356881"/>
    <w:rsid w:val="0039775B"/>
    <w:rsid w:val="00486886"/>
    <w:rsid w:val="004F775D"/>
    <w:rsid w:val="0057096E"/>
    <w:rsid w:val="00583480"/>
    <w:rsid w:val="005B6EE7"/>
    <w:rsid w:val="007246F0"/>
    <w:rsid w:val="00747AFE"/>
    <w:rsid w:val="0076648E"/>
    <w:rsid w:val="007A50F6"/>
    <w:rsid w:val="00836615"/>
    <w:rsid w:val="008F762D"/>
    <w:rsid w:val="009F0553"/>
    <w:rsid w:val="00A07197"/>
    <w:rsid w:val="00B12523"/>
    <w:rsid w:val="00B458A0"/>
    <w:rsid w:val="00BE24A9"/>
    <w:rsid w:val="00CF2E48"/>
    <w:rsid w:val="00D16FA4"/>
    <w:rsid w:val="00D279A9"/>
    <w:rsid w:val="00DC7B5C"/>
    <w:rsid w:val="00E40D80"/>
    <w:rsid w:val="00E62146"/>
    <w:rsid w:val="00ED15EA"/>
    <w:rsid w:val="00EE7625"/>
    <w:rsid w:val="00EF43F4"/>
    <w:rsid w:val="00F07BFE"/>
    <w:rsid w:val="00F56D3D"/>
    <w:rsid w:val="00FB6E39"/>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906492C"/>
  <w15:docId w15:val="{342E7A9B-32A8-4A0B-8143-C71DAD1F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qFormat/>
    <w:pPr>
      <w:keepNext/>
      <w:ind w:left="360"/>
      <w:outlineLvl w:val="1"/>
    </w:pPr>
    <w:rPr>
      <w:b/>
      <w:bCs/>
      <w:sz w:val="24"/>
      <w:szCs w:val="24"/>
    </w:rPr>
  </w:style>
  <w:style w:type="paragraph" w:styleId="Heading3">
    <w:name w:val="heading 3"/>
    <w:basedOn w:val="Normal"/>
    <w:next w:val="Normal"/>
    <w:qFormat/>
    <w:pPr>
      <w:keepNext/>
      <w:ind w:firstLine="360"/>
      <w:outlineLvl w:val="2"/>
    </w:pPr>
    <w:rPr>
      <w:b/>
      <w:bCs/>
      <w:sz w:val="24"/>
      <w:szCs w:val="24"/>
    </w:rPr>
  </w:style>
  <w:style w:type="paragraph" w:styleId="Heading4">
    <w:name w:val="heading 4"/>
    <w:basedOn w:val="Normal"/>
    <w:next w:val="Normal"/>
    <w:qFormat/>
    <w:pPr>
      <w:keepNext/>
      <w:ind w:left="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720"/>
    </w:pPr>
    <w:rPr>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540" w:hanging="180"/>
    </w:pPr>
    <w:rPr>
      <w:sz w:val="24"/>
      <w:szCs w:val="24"/>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F2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5</vt:lpstr>
    </vt:vector>
  </TitlesOfParts>
  <Company>Oklahoma State University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5</dc:title>
  <dc:creator>Student Government Assn</dc:creator>
  <cp:lastModifiedBy>Hepner, Hammons Paul</cp:lastModifiedBy>
  <cp:revision>2</cp:revision>
  <cp:lastPrinted>2016-05-09T20:40:00Z</cp:lastPrinted>
  <dcterms:created xsi:type="dcterms:W3CDTF">2018-03-27T18:03:00Z</dcterms:created>
  <dcterms:modified xsi:type="dcterms:W3CDTF">2018-03-27T18:03:00Z</dcterms:modified>
</cp:coreProperties>
</file>